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A555" w14:textId="0F122DD3" w:rsidR="003A6478" w:rsidRPr="003A6478" w:rsidRDefault="003A6478" w:rsidP="00422053">
      <w:pPr>
        <w:rPr>
          <w:b/>
          <w:sz w:val="28"/>
        </w:rPr>
      </w:pPr>
      <w:r w:rsidRPr="003A6478">
        <w:rPr>
          <w:b/>
          <w:sz w:val="28"/>
        </w:rPr>
        <w:t>Instruments of Service</w:t>
      </w:r>
      <w:r>
        <w:rPr>
          <w:b/>
          <w:sz w:val="28"/>
        </w:rPr>
        <w:t xml:space="preserve"> background from ACEC/MA </w:t>
      </w:r>
    </w:p>
    <w:p w14:paraId="72B0D731" w14:textId="17B50182" w:rsidR="00422053" w:rsidRPr="007C76D0" w:rsidRDefault="00422053" w:rsidP="00422053">
      <w:pPr>
        <w:rPr>
          <w:sz w:val="28"/>
        </w:rPr>
      </w:pPr>
      <w:r w:rsidRPr="007C76D0">
        <w:rPr>
          <w:sz w:val="28"/>
        </w:rPr>
        <w:t>Instruments of Service include the final drawings, plans, specifications, plats, and reports prepared by, or under the Direct Charge and Supervision of, a registered Professional Engineer.  Instruments of Service do not include interim drawings, plans, specifications, plats and reports or drawings, plans, specifications, plats and reports that are marked “preliminary,” “not for construction,” “for plan check only,” or “for review only.”</w:t>
      </w:r>
    </w:p>
    <w:p w14:paraId="053C7734" w14:textId="77777777" w:rsidR="00422053" w:rsidRPr="007C76D0" w:rsidRDefault="00422053" w:rsidP="00422053">
      <w:pPr>
        <w:rPr>
          <w:sz w:val="28"/>
        </w:rPr>
      </w:pPr>
    </w:p>
    <w:p w14:paraId="7BB5B7DD" w14:textId="31A2D95B" w:rsidR="00422053" w:rsidRPr="007C76D0" w:rsidRDefault="00422053" w:rsidP="00422053">
      <w:pPr>
        <w:rPr>
          <w:sz w:val="28"/>
        </w:rPr>
      </w:pPr>
      <w:r w:rsidRPr="007C76D0">
        <w:rPr>
          <w:sz w:val="28"/>
        </w:rPr>
        <w:t>Some states (e.g. California) require that “calculations” be stamped. </w:t>
      </w:r>
      <w:r w:rsidR="00237406" w:rsidRPr="007C76D0">
        <w:rPr>
          <w:sz w:val="28"/>
        </w:rPr>
        <w:t xml:space="preserve"> Massachusetts does not have this requirement</w:t>
      </w:r>
      <w:r w:rsidRPr="007C76D0">
        <w:rPr>
          <w:sz w:val="28"/>
        </w:rPr>
        <w:t>.</w:t>
      </w:r>
    </w:p>
    <w:p w14:paraId="26FF3804" w14:textId="2814C620" w:rsidR="00422053" w:rsidRDefault="00422053">
      <w:bookmarkStart w:id="0" w:name="_GoBack"/>
      <w:bookmarkEnd w:id="0"/>
    </w:p>
    <w:p w14:paraId="78567550" w14:textId="593A64B0" w:rsidR="00422053" w:rsidRPr="00237406" w:rsidRDefault="00422053" w:rsidP="00422053">
      <w:pPr>
        <w:rPr>
          <w:rFonts w:ascii="Futura Lt BT" w:hAnsi="Futura Lt BT"/>
          <w:b/>
          <w:sz w:val="26"/>
        </w:rPr>
      </w:pPr>
      <w:r w:rsidRPr="00237406">
        <w:rPr>
          <w:b/>
          <w:sz w:val="28"/>
        </w:rPr>
        <w:t xml:space="preserve">From </w:t>
      </w:r>
      <w:r w:rsidRPr="00237406">
        <w:rPr>
          <w:b/>
          <w:sz w:val="28"/>
        </w:rPr>
        <w:t>250</w:t>
      </w:r>
      <w:r w:rsidR="00237406" w:rsidRPr="00237406">
        <w:rPr>
          <w:b/>
          <w:sz w:val="28"/>
        </w:rPr>
        <w:t xml:space="preserve"> </w:t>
      </w:r>
      <w:r w:rsidRPr="00237406">
        <w:rPr>
          <w:b/>
          <w:sz w:val="28"/>
        </w:rPr>
        <w:t>CMR:</w:t>
      </w:r>
    </w:p>
    <w:p w14:paraId="27DF676A" w14:textId="77777777" w:rsidR="00422053" w:rsidRDefault="00422053" w:rsidP="00422053"/>
    <w:p w14:paraId="408F0FF8" w14:textId="77777777" w:rsidR="00422053" w:rsidRDefault="00422053" w:rsidP="00422053">
      <w:pPr>
        <w:rPr>
          <w:rFonts w:ascii="Times New Roman" w:hAnsi="Times New Roman" w:cs="Times New Roman"/>
          <w:sz w:val="20"/>
          <w:szCs w:val="20"/>
        </w:rPr>
      </w:pPr>
      <w:r>
        <w:rPr>
          <w:rFonts w:ascii="Times New Roman" w:hAnsi="Times New Roman" w:cs="Times New Roman"/>
          <w:sz w:val="20"/>
          <w:szCs w:val="20"/>
        </w:rPr>
        <w:t>2.09:</w:t>
      </w:r>
    </w:p>
    <w:p w14:paraId="4B647B5A" w14:textId="4F793666" w:rsidR="00422053" w:rsidRDefault="00422053" w:rsidP="00422053">
      <w:pPr>
        <w:rPr>
          <w:rFonts w:ascii="Futura Lt BT" w:hAnsi="Futura Lt BT"/>
        </w:rPr>
      </w:pPr>
      <w:r>
        <w:rPr>
          <w:noProof/>
        </w:rPr>
        <w:drawing>
          <wp:inline distT="0" distB="0" distL="0" distR="0" wp14:anchorId="73804443" wp14:editId="66E423B2">
            <wp:extent cx="5800725" cy="714375"/>
            <wp:effectExtent l="0" t="0" r="9525" b="9525"/>
            <wp:docPr id="2" name="Picture 2" descr="cid:image001.png@01D48E4C.E485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8E4C.E48580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00725" cy="714375"/>
                    </a:xfrm>
                    <a:prstGeom prst="rect">
                      <a:avLst/>
                    </a:prstGeom>
                    <a:noFill/>
                    <a:ln>
                      <a:noFill/>
                    </a:ln>
                  </pic:spPr>
                </pic:pic>
              </a:graphicData>
            </a:graphic>
          </wp:inline>
        </w:drawing>
      </w:r>
    </w:p>
    <w:p w14:paraId="7828C5B0" w14:textId="4F34DA96" w:rsidR="00237406" w:rsidRDefault="00237406" w:rsidP="00422053">
      <w:pPr>
        <w:rPr>
          <w:rFonts w:ascii="Futura Lt BT" w:hAnsi="Futura Lt BT"/>
        </w:rPr>
      </w:pPr>
    </w:p>
    <w:p w14:paraId="39B28AD4" w14:textId="77777777" w:rsidR="00237406" w:rsidRDefault="00237406" w:rsidP="00422053">
      <w:pPr>
        <w:rPr>
          <w:rFonts w:ascii="Futura Lt BT" w:hAnsi="Futura Lt BT"/>
        </w:rPr>
      </w:pPr>
    </w:p>
    <w:p w14:paraId="400176D7" w14:textId="14FE8A7A" w:rsidR="00422053" w:rsidRDefault="00422053" w:rsidP="00422053">
      <w:r>
        <w:rPr>
          <w:noProof/>
        </w:rPr>
        <w:drawing>
          <wp:inline distT="0" distB="0" distL="0" distR="0" wp14:anchorId="1AC7A6CB" wp14:editId="45381EB3">
            <wp:extent cx="5857875" cy="5305425"/>
            <wp:effectExtent l="0" t="0" r="9525" b="9525"/>
            <wp:docPr id="1" name="Picture 1" descr="cid:image004.png@01D48E4C.BAF7A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8E4C.BAF7AE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57875" cy="5305425"/>
                    </a:xfrm>
                    <a:prstGeom prst="rect">
                      <a:avLst/>
                    </a:prstGeom>
                    <a:noFill/>
                    <a:ln>
                      <a:noFill/>
                    </a:ln>
                  </pic:spPr>
                </pic:pic>
              </a:graphicData>
            </a:graphic>
          </wp:inline>
        </w:drawing>
      </w:r>
    </w:p>
    <w:sectPr w:rsidR="00422053" w:rsidSect="00237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Lt BT">
    <w:altName w:val="Century Gothic"/>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53"/>
    <w:rsid w:val="00237406"/>
    <w:rsid w:val="003A6478"/>
    <w:rsid w:val="00422053"/>
    <w:rsid w:val="007C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42F2"/>
  <w15:chartTrackingRefBased/>
  <w15:docId w15:val="{CAB54759-BB4F-4CCC-B576-5769C581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0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3782">
      <w:bodyDiv w:val="1"/>
      <w:marLeft w:val="0"/>
      <w:marRight w:val="0"/>
      <w:marTop w:val="0"/>
      <w:marBottom w:val="0"/>
      <w:divBdr>
        <w:top w:val="none" w:sz="0" w:space="0" w:color="auto"/>
        <w:left w:val="none" w:sz="0" w:space="0" w:color="auto"/>
        <w:bottom w:val="none" w:sz="0" w:space="0" w:color="auto"/>
        <w:right w:val="none" w:sz="0" w:space="0" w:color="auto"/>
      </w:divBdr>
    </w:div>
    <w:div w:id="6493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png@01D48E4C.BAF7AE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48E4C.E4858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Goodman</dc:creator>
  <cp:keywords/>
  <dc:description/>
  <cp:lastModifiedBy>Abbie Goodman</cp:lastModifiedBy>
  <cp:revision>3</cp:revision>
  <cp:lastPrinted>2018-12-11T16:53:00Z</cp:lastPrinted>
  <dcterms:created xsi:type="dcterms:W3CDTF">2018-12-11T16:29:00Z</dcterms:created>
  <dcterms:modified xsi:type="dcterms:W3CDTF">2018-12-11T16:54:00Z</dcterms:modified>
</cp:coreProperties>
</file>