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B693" w14:textId="77777777" w:rsidR="00CA6BB1" w:rsidRPr="00644226" w:rsidRDefault="00CA6BB1">
      <w:pPr>
        <w:jc w:val="center"/>
        <w:rPr>
          <w:color w:val="000000"/>
          <w:sz w:val="2"/>
          <w:szCs w:val="20"/>
        </w:rPr>
      </w:pPr>
    </w:p>
    <w:p w14:paraId="0F5DDAAE" w14:textId="239F3E93" w:rsidR="00CA6BB1" w:rsidRDefault="00A21382" w:rsidP="001520E1">
      <w:pPr>
        <w:pStyle w:val="Heading4"/>
        <w:ind w:left="-1080"/>
        <w:jc w:val="center"/>
      </w:pPr>
      <w:r>
        <w:rPr>
          <w:noProof/>
        </w:rPr>
        <w:drawing>
          <wp:inline distT="0" distB="0" distL="0" distR="0" wp14:anchorId="79DF567D" wp14:editId="069B33F6">
            <wp:extent cx="1466850" cy="533400"/>
            <wp:effectExtent l="0" t="0" r="0" b="0"/>
            <wp:docPr id="1" name="Picture 1" descr="MALSCELogoTyp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SCELogoType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B1">
        <w:t xml:space="preserve">   </w:t>
      </w:r>
      <w:r w:rsidR="00767A5B">
        <w:tab/>
      </w:r>
      <w:r>
        <w:rPr>
          <w:noProof/>
        </w:rPr>
        <w:drawing>
          <wp:inline distT="0" distB="0" distL="0" distR="0" wp14:anchorId="670F5BBF" wp14:editId="533FA5D2">
            <wp:extent cx="1724025" cy="619125"/>
            <wp:effectExtent l="0" t="0" r="9525" b="9525"/>
            <wp:docPr id="2" name="Picture 2" descr="ACECLogoTyp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CLogoType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BB1">
        <w:t xml:space="preserve">   </w:t>
      </w:r>
      <w:r>
        <w:rPr>
          <w:noProof/>
        </w:rPr>
        <w:drawing>
          <wp:inline distT="0" distB="0" distL="0" distR="0" wp14:anchorId="4BC957A8" wp14:editId="0634B73B">
            <wp:extent cx="1495425" cy="495300"/>
            <wp:effectExtent l="0" t="0" r="9525" b="0"/>
            <wp:docPr id="3" name="Picture 3" descr="BSCESLogoType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ESLogoType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226">
        <w:t xml:space="preserve"> </w:t>
      </w:r>
    </w:p>
    <w:p w14:paraId="2595D8DB" w14:textId="2F305FC0" w:rsidR="00446DF6" w:rsidRPr="00446DF6" w:rsidRDefault="00446DF6" w:rsidP="00446DF6"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74799" wp14:editId="36B4A143">
                <wp:simplePos x="0" y="0"/>
                <wp:positionH relativeFrom="column">
                  <wp:posOffset>-819150</wp:posOffset>
                </wp:positionH>
                <wp:positionV relativeFrom="paragraph">
                  <wp:posOffset>133350</wp:posOffset>
                </wp:positionV>
                <wp:extent cx="8229600" cy="914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3268" w14:textId="77777777" w:rsidR="00570989" w:rsidRDefault="00570989" w:rsidP="00570989">
                            <w:pPr>
                              <w:pStyle w:val="Heading4"/>
                              <w:shd w:val="clear" w:color="auto" w:fill="666666"/>
                              <w:spacing w:line="276" w:lineRule="auto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FFFFFF"/>
                                <w:sz w:val="44"/>
                              </w:rPr>
                            </w:pPr>
                            <w:r w:rsidRPr="00570989">
                              <w:rPr>
                                <w:rFonts w:ascii="Arial Rounded MT Bold" w:hAnsi="Arial Rounded MT Bold"/>
                                <w:b w:val="0"/>
                                <w:color w:val="FFFFFF"/>
                                <w:sz w:val="44"/>
                              </w:rPr>
                              <w:t>Wipes Regulations can Save Ratepayers $</w:t>
                            </w:r>
                          </w:p>
                          <w:p w14:paraId="5A9B107A" w14:textId="35C9E6CD" w:rsidR="00443995" w:rsidRPr="00443995" w:rsidRDefault="00570989" w:rsidP="00570989">
                            <w:pPr>
                              <w:pStyle w:val="Heading4"/>
                              <w:shd w:val="clear" w:color="auto" w:fill="666666"/>
                              <w:spacing w:line="276" w:lineRule="auto"/>
                              <w:jc w:val="center"/>
                            </w:pPr>
                            <w:r w:rsidRPr="00570989">
                              <w:rPr>
                                <w:rFonts w:ascii="Arial Rounded MT Bold" w:hAnsi="Arial Rounded MT Bold"/>
                                <w:b w:val="0"/>
                                <w:color w:val="FFFFFF"/>
                                <w:sz w:val="44"/>
                              </w:rPr>
                              <w:t>Keep Waters Cl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color w:val="FFFFFF"/>
                                <w:sz w:val="44"/>
                              </w:rPr>
                              <w:t>ean</w:t>
                            </w:r>
                          </w:p>
                          <w:p w14:paraId="1D85A24F" w14:textId="77777777" w:rsidR="00484482" w:rsidRDefault="00484482">
                            <w:pPr>
                              <w:shd w:val="clear" w:color="auto" w:fill="666666"/>
                              <w:rPr>
                                <w:rFonts w:ascii="Arial Rounded MT Bold" w:hAnsi="Arial Rounded MT Bold"/>
                                <w:color w:val="FFFFFF"/>
                              </w:rPr>
                            </w:pPr>
                          </w:p>
                          <w:p w14:paraId="2AB06F7E" w14:textId="77777777" w:rsidR="00484482" w:rsidRDefault="00484482"/>
                          <w:p w14:paraId="4DB1F07E" w14:textId="77777777" w:rsidR="00484482" w:rsidRDefault="004844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 w:cs="Times New Roman"/>
                                <w:sz w:val="16"/>
                              </w:rPr>
                            </w:pPr>
                          </w:p>
                          <w:p w14:paraId="3E63E2B2" w14:textId="77777777" w:rsidR="00484482" w:rsidRDefault="00484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74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10.5pt;width:9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" stroked="f">
                <v:textbox>
                  <w:txbxContent>
                    <w:p w14:paraId="1EE53268" w14:textId="77777777" w:rsidR="00570989" w:rsidRDefault="00570989" w:rsidP="00570989">
                      <w:pPr>
                        <w:pStyle w:val="Heading4"/>
                        <w:shd w:val="clear" w:color="auto" w:fill="666666"/>
                        <w:spacing w:line="276" w:lineRule="auto"/>
                        <w:jc w:val="center"/>
                        <w:rPr>
                          <w:rFonts w:ascii="Arial Rounded MT Bold" w:hAnsi="Arial Rounded MT Bold"/>
                          <w:b w:val="0"/>
                          <w:color w:val="FFFFFF"/>
                          <w:sz w:val="44"/>
                        </w:rPr>
                      </w:pPr>
                      <w:r w:rsidRPr="00570989">
                        <w:rPr>
                          <w:rFonts w:ascii="Arial Rounded MT Bold" w:hAnsi="Arial Rounded MT Bold"/>
                          <w:b w:val="0"/>
                          <w:color w:val="FFFFFF"/>
                          <w:sz w:val="44"/>
                        </w:rPr>
                        <w:t>Wipes Regulations can Save Ratepayers $</w:t>
                      </w:r>
                    </w:p>
                    <w:p w14:paraId="5A9B107A" w14:textId="35C9E6CD" w:rsidR="00443995" w:rsidRPr="00443995" w:rsidRDefault="00570989" w:rsidP="00570989">
                      <w:pPr>
                        <w:pStyle w:val="Heading4"/>
                        <w:shd w:val="clear" w:color="auto" w:fill="666666"/>
                        <w:spacing w:line="276" w:lineRule="auto"/>
                        <w:jc w:val="center"/>
                      </w:pPr>
                      <w:r w:rsidRPr="00570989">
                        <w:rPr>
                          <w:rFonts w:ascii="Arial Rounded MT Bold" w:hAnsi="Arial Rounded MT Bold"/>
                          <w:b w:val="0"/>
                          <w:color w:val="FFFFFF"/>
                          <w:sz w:val="44"/>
                        </w:rPr>
                        <w:t>Keep Waters Cl</w:t>
                      </w:r>
                      <w:r>
                        <w:rPr>
                          <w:rFonts w:ascii="Arial Rounded MT Bold" w:hAnsi="Arial Rounded MT Bold"/>
                          <w:b w:val="0"/>
                          <w:color w:val="FFFFFF"/>
                          <w:sz w:val="44"/>
                        </w:rPr>
                        <w:t>ean</w:t>
                      </w:r>
                    </w:p>
                    <w:p w14:paraId="1D85A24F" w14:textId="77777777" w:rsidR="00484482" w:rsidRDefault="00484482">
                      <w:pPr>
                        <w:shd w:val="clear" w:color="auto" w:fill="666666"/>
                        <w:rPr>
                          <w:rFonts w:ascii="Arial Rounded MT Bold" w:hAnsi="Arial Rounded MT Bold"/>
                          <w:color w:val="FFFFFF"/>
                        </w:rPr>
                      </w:pPr>
                    </w:p>
                    <w:p w14:paraId="2AB06F7E" w14:textId="77777777" w:rsidR="00484482" w:rsidRDefault="00484482"/>
                    <w:p w14:paraId="4DB1F07E" w14:textId="77777777" w:rsidR="00484482" w:rsidRDefault="00484482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 w:cs="Times New Roman"/>
                          <w:sz w:val="16"/>
                        </w:rPr>
                      </w:pPr>
                    </w:p>
                    <w:p w14:paraId="3E63E2B2" w14:textId="77777777" w:rsidR="00484482" w:rsidRDefault="00484482"/>
                  </w:txbxContent>
                </v:textbox>
              </v:shape>
            </w:pict>
          </mc:Fallback>
        </mc:AlternateContent>
      </w:r>
    </w:p>
    <w:p w14:paraId="1E9AFE4F" w14:textId="19C25BB0" w:rsidR="00CA6BB1" w:rsidRPr="002F3B02" w:rsidRDefault="00CA6BB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4"/>
        </w:rPr>
      </w:pPr>
    </w:p>
    <w:p w14:paraId="110CC4DD" w14:textId="75917540" w:rsidR="00CA6BB1" w:rsidRDefault="00CA6BB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p w14:paraId="676AD740" w14:textId="08D08EDD" w:rsidR="00443995" w:rsidRDefault="0044399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p w14:paraId="44057B3E" w14:textId="77777777" w:rsidR="00443995" w:rsidRDefault="00443995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p w14:paraId="70787576" w14:textId="77777777" w:rsidR="00570989" w:rsidRDefault="00570989" w:rsidP="00363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85C4CB" w14:textId="77777777" w:rsidR="00446DF6" w:rsidRDefault="00446DF6" w:rsidP="00446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S. 529, An Act protecting water systems through the labeling of flushable wipes. </w:t>
      </w:r>
    </w:p>
    <w:p w14:paraId="2634440C" w14:textId="18DB558C" w:rsidR="00446DF6" w:rsidRPr="00446DF6" w:rsidRDefault="00446DF6" w:rsidP="00446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Sponsor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Senator James B. Eldridge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Referred to Joint Committee on Environment, Natural Resources and Agriculture</w:t>
      </w:r>
    </w:p>
    <w:p w14:paraId="5587CC3D" w14:textId="77777777" w:rsidR="00446DF6" w:rsidRDefault="00446DF6" w:rsidP="00446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H.897, An Act protecting water systems through the labeling of flushable wipes</w:t>
      </w:r>
    </w:p>
    <w:p w14:paraId="6F0B09EC" w14:textId="51E5C60F" w:rsidR="00CA6BB1" w:rsidRPr="0047347C" w:rsidRDefault="00446DF6" w:rsidP="00446D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0"/>
        </w:rPr>
      </w:pP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Sponsor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Representative Carolyn Dykema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446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Referred to Joint Committee on Environment, Natural Resources and Agriculture</w:t>
      </w:r>
    </w:p>
    <w:p w14:paraId="34FC8D14" w14:textId="77777777" w:rsidR="00CA6BB1" w:rsidRPr="00E25FA0" w:rsidRDefault="00CA6BB1" w:rsidP="00446DF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25FA0">
        <w:rPr>
          <w:rFonts w:ascii="Arial" w:hAnsi="Arial" w:cs="Arial"/>
          <w:b/>
          <w:bCs/>
        </w:rPr>
        <w:t>ISSUE</w:t>
      </w:r>
    </w:p>
    <w:p w14:paraId="676D4989" w14:textId="57DD5F01" w:rsidR="00570989" w:rsidRPr="00570989" w:rsidRDefault="00570989" w:rsidP="00446DF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Massachusetts sewers face avoidable costs for clogs, fouled pumps and resulting sanitary sewer overflows. As the popularity of various wipes increases and users flush them, these costs will increase.</w:t>
      </w:r>
      <w:r w:rsidR="003F546B">
        <w:rPr>
          <w:rFonts w:ascii="Times New Roman" w:hAnsi="Times New Roman" w:cs="Times New Roman"/>
          <w:color w:val="000000"/>
        </w:rPr>
        <w:t xml:space="preserve"> During the COVID-19 pandemic, the use of wipes increased greatly, causing dangerous clogs and public health issues for sewer systems.</w:t>
      </w:r>
    </w:p>
    <w:p w14:paraId="07C9FD51" w14:textId="77777777" w:rsidR="00446DF6" w:rsidRPr="003F546B" w:rsidRDefault="00446DF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0DC702CB" w14:textId="62929256" w:rsidR="00570989" w:rsidRPr="00570989" w:rsidRDefault="0057098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Since the early 2000s, wipes have been aggressively marketed as a replacement for toilet paper, mops, cleaning brushes and rags. This multi-billion-dollar industry[1] has had disastrous impacts on local sewer systems as clogs and fouled pumps increase.</w:t>
      </w:r>
    </w:p>
    <w:p w14:paraId="1AF4BE50" w14:textId="77777777" w:rsidR="00570989" w:rsidRDefault="0057098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69A1E1E" w14:textId="26C2D1BB" w:rsidR="00CA6BB1" w:rsidRPr="00E25FA0" w:rsidRDefault="00CA6BB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25FA0">
        <w:rPr>
          <w:rFonts w:ascii="Arial" w:hAnsi="Arial" w:cs="Arial"/>
          <w:b/>
          <w:bCs/>
        </w:rPr>
        <w:t>KEY POINTS</w:t>
      </w:r>
    </w:p>
    <w:p w14:paraId="38BEB99E" w14:textId="77777777" w:rsidR="00570989" w:rsidRPr="00570989" w:rsidRDefault="00570989" w:rsidP="0057098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 xml:space="preserve">This legislation targets only wipes and other products that are not flushable according to industry. </w:t>
      </w:r>
    </w:p>
    <w:p w14:paraId="07E3C469" w14:textId="77147C32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Unlike toilet paper, wipes are not “dispersible” in normal sewer conditions</w:t>
      </w:r>
    </w:p>
    <w:p w14:paraId="47F293BC" w14:textId="1D8079BB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Many such products are labeled “flushable”</w:t>
      </w:r>
    </w:p>
    <w:p w14:paraId="401A77DA" w14:textId="4FB9D67F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Clogs and fouling from flushed wipes costs sewer operations in Massachusetts nearly $10 million annually.</w:t>
      </w:r>
    </w:p>
    <w:p w14:paraId="5274B6E4" w14:textId="26A3F08A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In MA, the estimate just for operations is nearly $10M annually.</w:t>
      </w:r>
    </w:p>
    <w:p w14:paraId="62993AB8" w14:textId="5A977393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NACWA (the National Association of Clean Water Agencies) promotes using science-based standards for dispersibility[2]</w:t>
      </w:r>
    </w:p>
    <w:p w14:paraId="2B6E8248" w14:textId="633455F8" w:rsidR="00570989" w:rsidRPr="00570989" w:rsidRDefault="00570989" w:rsidP="00570989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70989">
        <w:rPr>
          <w:rFonts w:ascii="Times New Roman" w:hAnsi="Times New Roman" w:cs="Times New Roman"/>
          <w:color w:val="000000"/>
        </w:rPr>
        <w:t>Wipes should be properly and clearly labeled.[3]</w:t>
      </w:r>
    </w:p>
    <w:p w14:paraId="56ADA74C" w14:textId="77777777" w:rsidR="00570989" w:rsidRPr="003F546B" w:rsidRDefault="00570989" w:rsidP="0057098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564EC798" w14:textId="77777777" w:rsidR="00570989" w:rsidRPr="00E25FA0" w:rsidRDefault="00570989" w:rsidP="005709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E25FA0">
        <w:rPr>
          <w:rFonts w:ascii="Arial" w:hAnsi="Arial" w:cs="Arial"/>
          <w:b/>
          <w:bCs/>
        </w:rPr>
        <w:t>ACTION REQUESTED</w:t>
      </w:r>
    </w:p>
    <w:p w14:paraId="1FE21208" w14:textId="297558A7" w:rsidR="00570989" w:rsidRPr="00446DF6" w:rsidRDefault="00570989" w:rsidP="00446DF6">
      <w:pPr>
        <w:pStyle w:val="NormalWeb"/>
        <w:numPr>
          <w:ilvl w:val="0"/>
          <w:numId w:val="49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color w:val="000000"/>
        </w:rPr>
      </w:pPr>
      <w:r w:rsidRPr="00446DF6">
        <w:rPr>
          <w:rFonts w:ascii="Times New Roman" w:hAnsi="Times New Roman" w:cs="Times New Roman"/>
          <w:color w:val="000000"/>
        </w:rPr>
        <w:t xml:space="preserve">We respectfully ask that the Legislature pass these bills to classify wipes, using wipes-industry standards as “non-flushable.” </w:t>
      </w:r>
    </w:p>
    <w:p w14:paraId="3EDA76C0" w14:textId="5BEFBF8C" w:rsidR="00570989" w:rsidRPr="00446DF6" w:rsidRDefault="00570989" w:rsidP="00446DF6">
      <w:pPr>
        <w:pStyle w:val="NormalWeb"/>
        <w:numPr>
          <w:ilvl w:val="0"/>
          <w:numId w:val="49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color w:val="000000"/>
        </w:rPr>
      </w:pPr>
      <w:r w:rsidRPr="00446DF6">
        <w:rPr>
          <w:rFonts w:ascii="Times New Roman" w:hAnsi="Times New Roman" w:cs="Times New Roman"/>
          <w:color w:val="000000"/>
        </w:rPr>
        <w:t>We ask that those wipes that do not meet industry dispersible standards have prominent, mandatory “Do Not Flush” labelling, following NACWA labeling guidelines.</w:t>
      </w:r>
    </w:p>
    <w:p w14:paraId="34EF8F89" w14:textId="77777777" w:rsidR="00570989" w:rsidRPr="00446DF6" w:rsidRDefault="00570989" w:rsidP="006762B3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color w:val="000000"/>
        </w:rPr>
      </w:pPr>
      <w:r w:rsidRPr="00446DF6">
        <w:rPr>
          <w:rFonts w:ascii="Times New Roman" w:hAnsi="Times New Roman" w:cs="Times New Roman"/>
          <w:b/>
          <w:bCs/>
          <w:color w:val="000000"/>
        </w:rPr>
        <w:t>These bills include strong, specific language[4].</w:t>
      </w:r>
    </w:p>
    <w:p w14:paraId="0574D774" w14:textId="77777777" w:rsidR="00570989" w:rsidRPr="009A78BA" w:rsidRDefault="00570989" w:rsidP="0057098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14:paraId="2FF3BF77" w14:textId="77777777" w:rsidR="00570989" w:rsidRPr="003F546B" w:rsidRDefault="00570989" w:rsidP="00570989">
      <w:pPr>
        <w:pStyle w:val="BodyText"/>
        <w:rPr>
          <w:b w:val="0"/>
          <w:bCs w:val="0"/>
          <w:i/>
          <w:iCs/>
          <w:sz w:val="16"/>
          <w:szCs w:val="16"/>
        </w:rPr>
      </w:pPr>
      <w:r w:rsidRPr="00570989">
        <w:rPr>
          <w:b w:val="0"/>
          <w:bCs w:val="0"/>
          <w:i/>
          <w:iCs/>
          <w:sz w:val="22"/>
          <w:szCs w:val="22"/>
        </w:rPr>
        <w:t>________________________________________</w:t>
      </w:r>
    </w:p>
    <w:p w14:paraId="3504FCF1" w14:textId="758F4FFA" w:rsidR="00570989" w:rsidRPr="009A78BA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9A78BA">
        <w:rPr>
          <w:b w:val="0"/>
          <w:bCs w:val="0"/>
          <w:i/>
          <w:iCs/>
          <w:sz w:val="20"/>
          <w:szCs w:val="20"/>
        </w:rPr>
        <w:t>[1] “One report from a product development company estimated the global market for these nonwoven wipes of all kinds to be $16.6 billion in 2018, with a growth rate of 5.7</w:t>
      </w:r>
      <w:r w:rsidR="003F546B" w:rsidRPr="009A78BA">
        <w:rPr>
          <w:b w:val="0"/>
          <w:bCs w:val="0"/>
          <w:i/>
          <w:iCs/>
          <w:sz w:val="20"/>
          <w:szCs w:val="20"/>
        </w:rPr>
        <w:t>%</w:t>
      </w:r>
      <w:r w:rsidRPr="009A78BA">
        <w:rPr>
          <w:b w:val="0"/>
          <w:bCs w:val="0"/>
          <w:i/>
          <w:iCs/>
          <w:sz w:val="20"/>
          <w:szCs w:val="20"/>
        </w:rPr>
        <w:t xml:space="preserve"> a year, which would push the total to nearly $22</w:t>
      </w:r>
      <w:r w:rsidR="003F546B" w:rsidRPr="009A78BA">
        <w:rPr>
          <w:b w:val="0"/>
          <w:bCs w:val="0"/>
          <w:i/>
          <w:iCs/>
          <w:sz w:val="20"/>
          <w:szCs w:val="20"/>
        </w:rPr>
        <w:t>B</w:t>
      </w:r>
      <w:r w:rsidRPr="009A78BA">
        <w:rPr>
          <w:b w:val="0"/>
          <w:bCs w:val="0"/>
          <w:i/>
          <w:iCs/>
          <w:sz w:val="20"/>
          <w:szCs w:val="20"/>
        </w:rPr>
        <w:t xml:space="preserve"> by 2023” (</w:t>
      </w:r>
      <w:hyperlink r:id="rId10" w:history="1">
        <w:r w:rsidR="003F546B" w:rsidRPr="009A78BA">
          <w:rPr>
            <w:rStyle w:val="Hyperlink"/>
            <w:b w:val="0"/>
            <w:bCs w:val="0"/>
            <w:i/>
            <w:iCs/>
            <w:sz w:val="20"/>
            <w:szCs w:val="20"/>
          </w:rPr>
          <w:t>https://undark.org/2019/12/23/flushable-wipes/</w:t>
        </w:r>
      </w:hyperlink>
      <w:r w:rsidRPr="009A78BA">
        <w:rPr>
          <w:b w:val="0"/>
          <w:bCs w:val="0"/>
          <w:i/>
          <w:iCs/>
          <w:sz w:val="20"/>
          <w:szCs w:val="20"/>
        </w:rPr>
        <w:t>)</w:t>
      </w:r>
    </w:p>
    <w:p w14:paraId="1B6872AF" w14:textId="77777777" w:rsidR="00570989" w:rsidRPr="009A78BA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9A78BA">
        <w:rPr>
          <w:b w:val="0"/>
          <w:bCs w:val="0"/>
          <w:i/>
          <w:iCs/>
          <w:sz w:val="20"/>
          <w:szCs w:val="20"/>
        </w:rPr>
        <w:t>[2] The International Water Services Flushability Group (IWSFG) has specifications.</w:t>
      </w:r>
    </w:p>
    <w:p w14:paraId="110461D8" w14:textId="4B3954E7" w:rsidR="00570989" w:rsidRPr="009A78BA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9A78BA">
        <w:rPr>
          <w:b w:val="0"/>
          <w:bCs w:val="0"/>
          <w:i/>
          <w:iCs/>
          <w:sz w:val="20"/>
          <w:szCs w:val="20"/>
        </w:rPr>
        <w:t>[3] 2nd Edition INDA/EDANA Code of Practice: Communicating Appropriate disposal pathways for nonwoven wipes. (INDA</w:t>
      </w:r>
      <w:r w:rsidR="003F546B" w:rsidRPr="009A78BA">
        <w:rPr>
          <w:b w:val="0"/>
          <w:bCs w:val="0"/>
          <w:i/>
          <w:iCs/>
          <w:sz w:val="20"/>
          <w:szCs w:val="20"/>
        </w:rPr>
        <w:t xml:space="preserve">= </w:t>
      </w:r>
      <w:r w:rsidRPr="009A78BA">
        <w:rPr>
          <w:b w:val="0"/>
          <w:bCs w:val="0"/>
          <w:i/>
          <w:iCs/>
          <w:sz w:val="20"/>
          <w:szCs w:val="20"/>
        </w:rPr>
        <w:t xml:space="preserve">the Association of the Nonwoven Fabrics Industry; EDANA </w:t>
      </w:r>
      <w:r w:rsidR="003F546B" w:rsidRPr="009A78BA">
        <w:rPr>
          <w:b w:val="0"/>
          <w:bCs w:val="0"/>
          <w:i/>
          <w:iCs/>
          <w:sz w:val="20"/>
          <w:szCs w:val="20"/>
        </w:rPr>
        <w:t>=</w:t>
      </w:r>
      <w:r w:rsidRPr="009A78BA">
        <w:rPr>
          <w:b w:val="0"/>
          <w:bCs w:val="0"/>
          <w:i/>
          <w:iCs/>
          <w:sz w:val="20"/>
          <w:szCs w:val="20"/>
        </w:rPr>
        <w:t xml:space="preserve"> European Disposables and Nonwoven Association)</w:t>
      </w:r>
    </w:p>
    <w:p w14:paraId="702A4CC5" w14:textId="77777777" w:rsidR="00570989" w:rsidRPr="009A78BA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9A78BA">
        <w:rPr>
          <w:b w:val="0"/>
          <w:bCs w:val="0"/>
          <w:i/>
          <w:iCs/>
          <w:sz w:val="20"/>
          <w:szCs w:val="20"/>
        </w:rPr>
        <w:t>[4]Model legislation is available through NACWA and the Wastewater Advisory Committee to the MWRA</w:t>
      </w:r>
    </w:p>
    <w:p w14:paraId="1749C571" w14:textId="77777777" w:rsidR="003F546B" w:rsidRPr="003F546B" w:rsidRDefault="003F546B" w:rsidP="00570989">
      <w:pPr>
        <w:pStyle w:val="BodyText"/>
        <w:rPr>
          <w:b w:val="0"/>
          <w:bCs w:val="0"/>
          <w:i/>
          <w:iCs/>
          <w:sz w:val="8"/>
          <w:szCs w:val="8"/>
        </w:rPr>
      </w:pPr>
    </w:p>
    <w:p w14:paraId="1E81A052" w14:textId="717B03B2" w:rsidR="00570989" w:rsidRPr="00570989" w:rsidRDefault="006762B3" w:rsidP="00570989">
      <w:pPr>
        <w:pStyle w:val="BodyTex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In addition to the </w:t>
      </w:r>
      <w:r w:rsidR="00570989" w:rsidRPr="00570989">
        <w:rPr>
          <w:b w:val="0"/>
          <w:bCs w:val="0"/>
          <w:i/>
          <w:iCs/>
          <w:sz w:val="22"/>
          <w:szCs w:val="22"/>
        </w:rPr>
        <w:t>associations</w:t>
      </w:r>
      <w:r>
        <w:rPr>
          <w:b w:val="0"/>
          <w:bCs w:val="0"/>
          <w:i/>
          <w:iCs/>
          <w:sz w:val="22"/>
          <w:szCs w:val="22"/>
        </w:rPr>
        <w:t xml:space="preserve"> listed above, these associations </w:t>
      </w:r>
      <w:r w:rsidR="00570989" w:rsidRPr="00570989">
        <w:rPr>
          <w:b w:val="0"/>
          <w:bCs w:val="0"/>
          <w:i/>
          <w:iCs/>
          <w:sz w:val="22"/>
          <w:szCs w:val="22"/>
        </w:rPr>
        <w:t>and organizations support these bills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3BEACE16" w14:textId="77777777" w:rsidR="006762B3" w:rsidRDefault="006762B3" w:rsidP="00570989">
      <w:pPr>
        <w:pStyle w:val="BodyText"/>
        <w:rPr>
          <w:b w:val="0"/>
          <w:bCs w:val="0"/>
          <w:i/>
          <w:iCs/>
          <w:sz w:val="22"/>
          <w:szCs w:val="22"/>
        </w:rPr>
        <w:sectPr w:rsidR="006762B3" w:rsidSect="0047347C">
          <w:pgSz w:w="12240" w:h="15840" w:code="1"/>
          <w:pgMar w:top="576" w:right="576" w:bottom="288" w:left="720" w:header="0" w:footer="0" w:gutter="0"/>
          <w:cols w:space="720"/>
          <w:docGrid w:linePitch="360"/>
        </w:sectPr>
      </w:pPr>
    </w:p>
    <w:p w14:paraId="0FCF7816" w14:textId="5C4FB4EF" w:rsidR="006762B3" w:rsidRPr="003F546B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MAWEA, Massachusetts Water Environment Association</w:t>
      </w:r>
    </w:p>
    <w:p w14:paraId="711A70EA" w14:textId="39F1025A" w:rsidR="00570989" w:rsidRPr="003F546B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MMA, Massachusetts Municipal Association</w:t>
      </w:r>
    </w:p>
    <w:p w14:paraId="1A15D053" w14:textId="36EC4AB0" w:rsidR="00446DF6" w:rsidRPr="003F546B" w:rsidRDefault="00446DF6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MWRA Advisory Board</w:t>
      </w:r>
    </w:p>
    <w:p w14:paraId="00802693" w14:textId="471CA5AD" w:rsidR="00570989" w:rsidRPr="003F546B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WAC, Wastewater Advisory Committee to the MWRA</w:t>
      </w:r>
      <w:r w:rsidR="00F92364">
        <w:rPr>
          <w:b w:val="0"/>
          <w:bCs w:val="0"/>
          <w:i/>
          <w:iCs/>
          <w:sz w:val="20"/>
          <w:szCs w:val="20"/>
        </w:rPr>
        <w:br w:type="column"/>
      </w:r>
      <w:r w:rsidRPr="003F546B">
        <w:rPr>
          <w:b w:val="0"/>
          <w:bCs w:val="0"/>
          <w:i/>
          <w:iCs/>
          <w:sz w:val="20"/>
          <w:szCs w:val="20"/>
        </w:rPr>
        <w:t>WSCAC, Water Supply Citizens Advisory Committee to the MWRA</w:t>
      </w:r>
    </w:p>
    <w:p w14:paraId="4F54741F" w14:textId="77777777" w:rsidR="00570989" w:rsidRPr="003F546B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NEWEA, New England Water Environment Association</w:t>
      </w:r>
    </w:p>
    <w:p w14:paraId="633601DA" w14:textId="75F7B53B" w:rsidR="00570989" w:rsidRPr="003F546B" w:rsidRDefault="00570989" w:rsidP="00570989">
      <w:pPr>
        <w:pStyle w:val="BodyText"/>
        <w:rPr>
          <w:b w:val="0"/>
          <w:bCs w:val="0"/>
          <w:i/>
          <w:iCs/>
          <w:sz w:val="20"/>
          <w:szCs w:val="20"/>
        </w:rPr>
      </w:pPr>
      <w:r w:rsidRPr="003F546B">
        <w:rPr>
          <w:b w:val="0"/>
          <w:bCs w:val="0"/>
          <w:i/>
          <w:iCs/>
          <w:sz w:val="20"/>
          <w:szCs w:val="20"/>
        </w:rPr>
        <w:t>Yankee Onsite Wastewater Association</w:t>
      </w:r>
    </w:p>
    <w:sectPr w:rsidR="00570989" w:rsidRPr="003F546B" w:rsidSect="006762B3">
      <w:type w:val="continuous"/>
      <w:pgSz w:w="12240" w:h="15840" w:code="1"/>
      <w:pgMar w:top="576" w:right="576" w:bottom="288" w:left="720" w:header="0" w:footer="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92D" w14:textId="77777777" w:rsidR="008C152A" w:rsidRDefault="008C152A">
      <w:r>
        <w:separator/>
      </w:r>
    </w:p>
  </w:endnote>
  <w:endnote w:type="continuationSeparator" w:id="0">
    <w:p w14:paraId="106038F4" w14:textId="77777777" w:rsidR="008C152A" w:rsidRDefault="008C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F0AA" w14:textId="77777777" w:rsidR="008C152A" w:rsidRDefault="008C152A">
      <w:r>
        <w:separator/>
      </w:r>
    </w:p>
  </w:footnote>
  <w:footnote w:type="continuationSeparator" w:id="0">
    <w:p w14:paraId="547518FC" w14:textId="77777777" w:rsidR="008C152A" w:rsidRDefault="008C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A34"/>
    <w:multiLevelType w:val="hybridMultilevel"/>
    <w:tmpl w:val="8A5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8B4"/>
    <w:multiLevelType w:val="hybridMultilevel"/>
    <w:tmpl w:val="317E0F9E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521DE"/>
    <w:multiLevelType w:val="hybridMultilevel"/>
    <w:tmpl w:val="D8861074"/>
    <w:lvl w:ilvl="0" w:tplc="7182193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33BE7"/>
    <w:multiLevelType w:val="hybridMultilevel"/>
    <w:tmpl w:val="A380FC58"/>
    <w:lvl w:ilvl="0" w:tplc="E4F0554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0A831C2"/>
    <w:multiLevelType w:val="hybridMultilevel"/>
    <w:tmpl w:val="272A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B758D"/>
    <w:multiLevelType w:val="hybridMultilevel"/>
    <w:tmpl w:val="D354E8FE"/>
    <w:lvl w:ilvl="0" w:tplc="E4F0554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5D66A45"/>
    <w:multiLevelType w:val="hybridMultilevel"/>
    <w:tmpl w:val="73480784"/>
    <w:lvl w:ilvl="0" w:tplc="869A6336">
      <w:numFmt w:val="bullet"/>
      <w:lvlText w:val="•"/>
      <w:lvlJc w:val="left"/>
      <w:pPr>
        <w:ind w:left="720" w:hanging="720"/>
      </w:pPr>
      <w:rPr>
        <w:rFonts w:ascii="Times New Roman" w:eastAsia="Arial Unicode MS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256E7"/>
    <w:multiLevelType w:val="hybridMultilevel"/>
    <w:tmpl w:val="3B188AE0"/>
    <w:lvl w:ilvl="0" w:tplc="AA96E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50D2"/>
    <w:multiLevelType w:val="hybridMultilevel"/>
    <w:tmpl w:val="7812D5F8"/>
    <w:lvl w:ilvl="0" w:tplc="E4F0554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989575C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55FE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06B32"/>
    <w:multiLevelType w:val="hybridMultilevel"/>
    <w:tmpl w:val="26EE0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104AC"/>
    <w:multiLevelType w:val="hybridMultilevel"/>
    <w:tmpl w:val="3B188AE0"/>
    <w:lvl w:ilvl="0" w:tplc="20C0ADA6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251"/>
    <w:multiLevelType w:val="hybridMultilevel"/>
    <w:tmpl w:val="20E68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65BFB"/>
    <w:multiLevelType w:val="hybridMultilevel"/>
    <w:tmpl w:val="F9AAA3F0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25BAB"/>
    <w:multiLevelType w:val="hybridMultilevel"/>
    <w:tmpl w:val="D954156A"/>
    <w:lvl w:ilvl="0" w:tplc="E4F05540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5B265D"/>
    <w:multiLevelType w:val="hybridMultilevel"/>
    <w:tmpl w:val="DB1A3176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C1DCA"/>
    <w:multiLevelType w:val="hybridMultilevel"/>
    <w:tmpl w:val="1638BD7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B807F45"/>
    <w:multiLevelType w:val="hybridMultilevel"/>
    <w:tmpl w:val="034E12A2"/>
    <w:lvl w:ilvl="0" w:tplc="E4F0554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E4F05540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2C197990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A2785"/>
    <w:multiLevelType w:val="hybridMultilevel"/>
    <w:tmpl w:val="F78A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3B101CCC"/>
    <w:multiLevelType w:val="hybridMultilevel"/>
    <w:tmpl w:val="D61A5120"/>
    <w:lvl w:ilvl="0" w:tplc="CEF419BE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00BE8"/>
    <w:multiLevelType w:val="hybridMultilevel"/>
    <w:tmpl w:val="C4FA5E84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549E4"/>
    <w:multiLevelType w:val="hybridMultilevel"/>
    <w:tmpl w:val="09648D8A"/>
    <w:lvl w:ilvl="0" w:tplc="CEF419BE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25096"/>
    <w:multiLevelType w:val="hybridMultilevel"/>
    <w:tmpl w:val="B7527AC4"/>
    <w:lvl w:ilvl="0" w:tplc="E4F0554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37778A1"/>
    <w:multiLevelType w:val="hybridMultilevel"/>
    <w:tmpl w:val="F892C156"/>
    <w:lvl w:ilvl="0" w:tplc="CEF419BE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23A7E"/>
    <w:multiLevelType w:val="hybridMultilevel"/>
    <w:tmpl w:val="86480960"/>
    <w:lvl w:ilvl="0" w:tplc="04090005">
      <w:start w:val="1"/>
      <w:numFmt w:val="bullet"/>
      <w:lvlText w:val=""/>
      <w:lvlJc w:val="left"/>
      <w:pPr>
        <w:tabs>
          <w:tab w:val="num" w:pos="1026"/>
        </w:tabs>
        <w:ind w:left="1026" w:hanging="576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7280D35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310"/>
    <w:multiLevelType w:val="hybridMultilevel"/>
    <w:tmpl w:val="F78A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49D669E5"/>
    <w:multiLevelType w:val="hybridMultilevel"/>
    <w:tmpl w:val="9D20563A"/>
    <w:lvl w:ilvl="0" w:tplc="CEF419BE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B0AA6"/>
    <w:multiLevelType w:val="hybridMultilevel"/>
    <w:tmpl w:val="A2284BA8"/>
    <w:lvl w:ilvl="0" w:tplc="DA84B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918D7"/>
    <w:multiLevelType w:val="hybridMultilevel"/>
    <w:tmpl w:val="30EAD48C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43B33"/>
    <w:multiLevelType w:val="hybridMultilevel"/>
    <w:tmpl w:val="9F3C6D60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406888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36FD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43F2A"/>
    <w:multiLevelType w:val="hybridMultilevel"/>
    <w:tmpl w:val="CCEE809E"/>
    <w:lvl w:ilvl="0" w:tplc="DCCE58B0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17EE5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540F2"/>
    <w:multiLevelType w:val="hybridMultilevel"/>
    <w:tmpl w:val="7B78343E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5716C"/>
    <w:multiLevelType w:val="hybridMultilevel"/>
    <w:tmpl w:val="0F462E94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D0A57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0320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3A227C"/>
    <w:multiLevelType w:val="hybridMultilevel"/>
    <w:tmpl w:val="5DB6A96C"/>
    <w:lvl w:ilvl="0" w:tplc="27E26A6E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530C4"/>
    <w:multiLevelType w:val="hybridMultilevel"/>
    <w:tmpl w:val="1000396A"/>
    <w:lvl w:ilvl="0" w:tplc="C2CC91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548CE"/>
    <w:multiLevelType w:val="hybridMultilevel"/>
    <w:tmpl w:val="9222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400CA"/>
    <w:multiLevelType w:val="multilevel"/>
    <w:tmpl w:val="A22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D2DF1"/>
    <w:multiLevelType w:val="hybridMultilevel"/>
    <w:tmpl w:val="1000396A"/>
    <w:lvl w:ilvl="0" w:tplc="CEF419BE">
      <w:start w:val="1"/>
      <w:numFmt w:val="bullet"/>
      <w:lvlText w:val=""/>
      <w:lvlJc w:val="left"/>
      <w:pPr>
        <w:tabs>
          <w:tab w:val="num" w:pos="576"/>
        </w:tabs>
        <w:ind w:left="576" w:hanging="576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31D8A"/>
    <w:multiLevelType w:val="hybridMultilevel"/>
    <w:tmpl w:val="D88610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997B2B"/>
    <w:multiLevelType w:val="hybridMultilevel"/>
    <w:tmpl w:val="D50A9640"/>
    <w:lvl w:ilvl="0" w:tplc="E4F0554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27E26"/>
    <w:multiLevelType w:val="hybridMultilevel"/>
    <w:tmpl w:val="D64479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3"/>
  </w:num>
  <w:num w:numId="5">
    <w:abstractNumId w:val="18"/>
  </w:num>
  <w:num w:numId="6">
    <w:abstractNumId w:val="8"/>
  </w:num>
  <w:num w:numId="7">
    <w:abstractNumId w:val="15"/>
  </w:num>
  <w:num w:numId="8">
    <w:abstractNumId w:val="47"/>
  </w:num>
  <w:num w:numId="9">
    <w:abstractNumId w:val="35"/>
  </w:num>
  <w:num w:numId="10">
    <w:abstractNumId w:val="24"/>
  </w:num>
  <w:num w:numId="11">
    <w:abstractNumId w:val="11"/>
  </w:num>
  <w:num w:numId="12">
    <w:abstractNumId w:val="46"/>
  </w:num>
  <w:num w:numId="13">
    <w:abstractNumId w:val="2"/>
  </w:num>
  <w:num w:numId="14">
    <w:abstractNumId w:val="0"/>
  </w:num>
  <w:num w:numId="15">
    <w:abstractNumId w:val="20"/>
  </w:num>
  <w:num w:numId="16">
    <w:abstractNumId w:val="28"/>
  </w:num>
  <w:num w:numId="17">
    <w:abstractNumId w:val="42"/>
  </w:num>
  <w:num w:numId="18">
    <w:abstractNumId w:val="45"/>
  </w:num>
  <w:num w:numId="19">
    <w:abstractNumId w:val="25"/>
  </w:num>
  <w:num w:numId="20">
    <w:abstractNumId w:val="29"/>
  </w:num>
  <w:num w:numId="21">
    <w:abstractNumId w:val="23"/>
  </w:num>
  <w:num w:numId="22">
    <w:abstractNumId w:val="21"/>
  </w:num>
  <w:num w:numId="23">
    <w:abstractNumId w:val="30"/>
  </w:num>
  <w:num w:numId="24">
    <w:abstractNumId w:val="33"/>
  </w:num>
  <w:num w:numId="25">
    <w:abstractNumId w:val="9"/>
  </w:num>
  <w:num w:numId="26">
    <w:abstractNumId w:val="16"/>
  </w:num>
  <w:num w:numId="27">
    <w:abstractNumId w:val="27"/>
  </w:num>
  <w:num w:numId="28">
    <w:abstractNumId w:val="31"/>
  </w:num>
  <w:num w:numId="29">
    <w:abstractNumId w:val="44"/>
  </w:num>
  <w:num w:numId="30">
    <w:abstractNumId w:val="38"/>
  </w:num>
  <w:num w:numId="31">
    <w:abstractNumId w:val="39"/>
  </w:num>
  <w:num w:numId="32">
    <w:abstractNumId w:val="41"/>
  </w:num>
  <w:num w:numId="33">
    <w:abstractNumId w:val="34"/>
  </w:num>
  <w:num w:numId="34">
    <w:abstractNumId w:val="22"/>
  </w:num>
  <w:num w:numId="35">
    <w:abstractNumId w:val="36"/>
  </w:num>
  <w:num w:numId="36">
    <w:abstractNumId w:val="37"/>
  </w:num>
  <w:num w:numId="37">
    <w:abstractNumId w:val="19"/>
  </w:num>
  <w:num w:numId="38">
    <w:abstractNumId w:val="32"/>
  </w:num>
  <w:num w:numId="39">
    <w:abstractNumId w:val="10"/>
  </w:num>
  <w:num w:numId="40">
    <w:abstractNumId w:val="14"/>
  </w:num>
  <w:num w:numId="41">
    <w:abstractNumId w:val="40"/>
  </w:num>
  <w:num w:numId="42">
    <w:abstractNumId w:val="1"/>
  </w:num>
  <w:num w:numId="43">
    <w:abstractNumId w:val="7"/>
  </w:num>
  <w:num w:numId="44">
    <w:abstractNumId w:val="12"/>
  </w:num>
  <w:num w:numId="45">
    <w:abstractNumId w:val="26"/>
  </w:num>
  <w:num w:numId="46">
    <w:abstractNumId w:val="48"/>
  </w:num>
  <w:num w:numId="47">
    <w:abstractNumId w:val="13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71"/>
    <w:rsid w:val="00047D03"/>
    <w:rsid w:val="000F322F"/>
    <w:rsid w:val="000F3D9B"/>
    <w:rsid w:val="001333EF"/>
    <w:rsid w:val="00136A89"/>
    <w:rsid w:val="001458B6"/>
    <w:rsid w:val="001520E1"/>
    <w:rsid w:val="00177875"/>
    <w:rsid w:val="001810CE"/>
    <w:rsid w:val="001921A2"/>
    <w:rsid w:val="00222FB8"/>
    <w:rsid w:val="002335B9"/>
    <w:rsid w:val="0023785B"/>
    <w:rsid w:val="00274618"/>
    <w:rsid w:val="002B1272"/>
    <w:rsid w:val="002B2F73"/>
    <w:rsid w:val="002F3B02"/>
    <w:rsid w:val="003070E0"/>
    <w:rsid w:val="003215BB"/>
    <w:rsid w:val="00363256"/>
    <w:rsid w:val="00364DE3"/>
    <w:rsid w:val="003834DF"/>
    <w:rsid w:val="003A421A"/>
    <w:rsid w:val="003B124F"/>
    <w:rsid w:val="003B767D"/>
    <w:rsid w:val="003C602E"/>
    <w:rsid w:val="003F546B"/>
    <w:rsid w:val="00443995"/>
    <w:rsid w:val="00445BF1"/>
    <w:rsid w:val="00446DF6"/>
    <w:rsid w:val="0047347C"/>
    <w:rsid w:val="00483A59"/>
    <w:rsid w:val="00484482"/>
    <w:rsid w:val="004F5D18"/>
    <w:rsid w:val="00532D0A"/>
    <w:rsid w:val="00540F80"/>
    <w:rsid w:val="00570989"/>
    <w:rsid w:val="005C5BC7"/>
    <w:rsid w:val="00611CE8"/>
    <w:rsid w:val="00644226"/>
    <w:rsid w:val="0064624C"/>
    <w:rsid w:val="0066201C"/>
    <w:rsid w:val="00662C2B"/>
    <w:rsid w:val="006762B3"/>
    <w:rsid w:val="006A541E"/>
    <w:rsid w:val="006C4796"/>
    <w:rsid w:val="00713124"/>
    <w:rsid w:val="00767A5B"/>
    <w:rsid w:val="0077794E"/>
    <w:rsid w:val="007B6A4C"/>
    <w:rsid w:val="00803D05"/>
    <w:rsid w:val="0082061A"/>
    <w:rsid w:val="00863471"/>
    <w:rsid w:val="00865237"/>
    <w:rsid w:val="008C152A"/>
    <w:rsid w:val="008E1E53"/>
    <w:rsid w:val="009049C4"/>
    <w:rsid w:val="00921EC7"/>
    <w:rsid w:val="00961ECF"/>
    <w:rsid w:val="0097253A"/>
    <w:rsid w:val="009928E8"/>
    <w:rsid w:val="009A78BA"/>
    <w:rsid w:val="00A16270"/>
    <w:rsid w:val="00A21382"/>
    <w:rsid w:val="00A2785B"/>
    <w:rsid w:val="00A81B34"/>
    <w:rsid w:val="00A95400"/>
    <w:rsid w:val="00A979F3"/>
    <w:rsid w:val="00AA4458"/>
    <w:rsid w:val="00AA4F4C"/>
    <w:rsid w:val="00AB1C0C"/>
    <w:rsid w:val="00AC5364"/>
    <w:rsid w:val="00B1279D"/>
    <w:rsid w:val="00B14A12"/>
    <w:rsid w:val="00BC700E"/>
    <w:rsid w:val="00BD08EC"/>
    <w:rsid w:val="00BD593D"/>
    <w:rsid w:val="00BE2DA3"/>
    <w:rsid w:val="00C21EC9"/>
    <w:rsid w:val="00C72238"/>
    <w:rsid w:val="00C74AB6"/>
    <w:rsid w:val="00C8703A"/>
    <w:rsid w:val="00C9029B"/>
    <w:rsid w:val="00C90D0C"/>
    <w:rsid w:val="00CA45F4"/>
    <w:rsid w:val="00CA6BB1"/>
    <w:rsid w:val="00D06A2F"/>
    <w:rsid w:val="00D44712"/>
    <w:rsid w:val="00D549D4"/>
    <w:rsid w:val="00D6213F"/>
    <w:rsid w:val="00DB2556"/>
    <w:rsid w:val="00DF234E"/>
    <w:rsid w:val="00E25FA0"/>
    <w:rsid w:val="00E427F8"/>
    <w:rsid w:val="00E577F3"/>
    <w:rsid w:val="00EE1532"/>
    <w:rsid w:val="00EE7C79"/>
    <w:rsid w:val="00EF3371"/>
    <w:rsid w:val="00F20863"/>
    <w:rsid w:val="00F5493B"/>
    <w:rsid w:val="00F92364"/>
    <w:rsid w:val="00FA5494"/>
    <w:rsid w:val="00FB53FA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0E926F"/>
  <w15:docId w15:val="{4D2FEA6D-09FB-4808-B61F-D3C5FCD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B3B3B3"/>
      <w:outlineLvl w:val="1"/>
    </w:pPr>
    <w:rPr>
      <w:rFonts w:ascii="Arial" w:hAnsi="Arial" w:cs="Arial"/>
      <w:sz w:val="7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bCs/>
      <w:sz w:val="27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-BoldMT" w:hAnsi="Arial-BoldMT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-BoldMT" w:hAnsi="Arial-Bold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22"/>
      <w:szCs w:val="20"/>
    </w:rPr>
  </w:style>
  <w:style w:type="paragraph" w:styleId="BodyText">
    <w:name w:val="Body Text"/>
    <w:basedOn w:val="Normal"/>
    <w:link w:val="BodyTextChar"/>
    <w:semiHidden/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700"/>
      <w:jc w:val="both"/>
    </w:pPr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rsid w:val="005C5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458B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3834DF"/>
    <w:rPr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E1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532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532"/>
    <w:rPr>
      <w:rFonts w:ascii="Bookman Old Style" w:hAnsi="Bookman Old Style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ndark.org/2019/12/23/flushable-wip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for New Legislators: February 1, 2005</vt:lpstr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for New Legislators: February 1, 2005</dc:title>
  <dc:creator>Joanne Linowes</dc:creator>
  <cp:lastModifiedBy>Abbie Goodman</cp:lastModifiedBy>
  <cp:revision>8</cp:revision>
  <cp:lastPrinted>2019-05-20T14:21:00Z</cp:lastPrinted>
  <dcterms:created xsi:type="dcterms:W3CDTF">2021-05-18T12:54:00Z</dcterms:created>
  <dcterms:modified xsi:type="dcterms:W3CDTF">2021-05-18T13:25:00Z</dcterms:modified>
</cp:coreProperties>
</file>